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97" w:rsidRPr="00063FF2" w:rsidRDefault="00F37697" w:rsidP="00063FF2">
      <w:pPr>
        <w:pStyle w:val="a5"/>
        <w:shd w:val="clear" w:color="auto" w:fill="FFFFFF"/>
        <w:spacing w:before="30" w:beforeAutospacing="0" w:after="30" w:afterAutospacing="0" w:line="360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 w:rsidRPr="00063FF2">
        <w:rPr>
          <w:rFonts w:ascii="Arial" w:hAnsi="Arial" w:cs="Arial"/>
          <w:b/>
          <w:color w:val="007AD0"/>
          <w:sz w:val="36"/>
          <w:szCs w:val="36"/>
        </w:rPr>
        <w:t>Что такое функциональная грамотность?</w:t>
      </w:r>
    </w:p>
    <w:p w:rsidR="00063FF2" w:rsidRPr="00063FF2" w:rsidRDefault="00063FF2" w:rsidP="00063FF2">
      <w:pPr>
        <w:pStyle w:val="a5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rStyle w:val="a3"/>
          <w:color w:val="000000"/>
          <w:sz w:val="28"/>
          <w:szCs w:val="28"/>
        </w:rPr>
        <w:t>Функциональная грамотность</w:t>
      </w:r>
      <w:r w:rsidRPr="00063FF2">
        <w:rPr>
          <w:color w:val="000000"/>
          <w:sz w:val="28"/>
          <w:szCs w:val="28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F37697" w:rsidRPr="00F37697" w:rsidRDefault="00F37697" w:rsidP="00F37697">
      <w:pPr>
        <w:shd w:val="clear" w:color="auto" w:fill="FFFFFF"/>
        <w:spacing w:before="30" w:after="15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национальном проекте «Образование» одной из приоритетных целей обозначено вхождение России в десятку лучших систем образования по результатам международных исследований. </w:t>
      </w:r>
    </w:p>
    <w:p w:rsidR="00F37697" w:rsidRPr="00F37697" w:rsidRDefault="00F37697" w:rsidP="00F37697">
      <w:pPr>
        <w:shd w:val="clear" w:color="auto" w:fill="FFFFFF"/>
        <w:spacing w:before="30" w:after="15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Внешние исследования функциональной грамотности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3"/>
        <w:gridCol w:w="3922"/>
        <w:gridCol w:w="1590"/>
        <w:gridCol w:w="1160"/>
        <w:gridCol w:w="1508"/>
      </w:tblGrid>
      <w:tr w:rsidR="00F37697" w:rsidRPr="00F37697" w:rsidTr="00F37697">
        <w:trPr>
          <w:tblHeader/>
        </w:trPr>
        <w:tc>
          <w:tcPr>
            <w:tcW w:w="22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Исследование</w:t>
            </w:r>
          </w:p>
        </w:tc>
        <w:tc>
          <w:tcPr>
            <w:tcW w:w="519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проверяет</w:t>
            </w:r>
          </w:p>
        </w:tc>
        <w:tc>
          <w:tcPr>
            <w:tcW w:w="177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классы</w:t>
            </w:r>
          </w:p>
        </w:tc>
        <w:tc>
          <w:tcPr>
            <w:tcW w:w="915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проходит</w:t>
            </w:r>
          </w:p>
        </w:tc>
        <w:tc>
          <w:tcPr>
            <w:tcW w:w="915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ближайшее</w:t>
            </w:r>
          </w:p>
        </w:tc>
      </w:tr>
      <w:tr w:rsidR="00F37697" w:rsidRPr="00F37697" w:rsidTr="00F37697">
        <w:tc>
          <w:tcPr>
            <w:tcW w:w="226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TIMSS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15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математического и </w:t>
            </w:r>
            <w:proofErr w:type="spellStart"/>
            <w:proofErr w:type="gramStart"/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4-е и 8-е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15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четыре года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37697" w:rsidRPr="00F37697" w:rsidTr="00F37697">
        <w:tc>
          <w:tcPr>
            <w:tcW w:w="226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PIRLS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чтения и понимания текста</w:t>
            </w:r>
            <w:hyperlink r:id="rId5" w:history="1">
              <w:r w:rsidRPr="00F3769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drawing>
                  <wp:inline distT="0" distB="0" distL="0" distR="0">
                    <wp:extent cx="9525" cy="9525"/>
                    <wp:effectExtent l="0" t="0" r="0" b="0"/>
                    <wp:docPr id="1" name="Рисунок 1" descr="https://niva-schkola.edusite.ru/images/clip_image00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niva-schkola.edusite.ru/images/clip_image00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пять лет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37697" w:rsidRPr="00F37697" w:rsidTr="00F37697">
        <w:tc>
          <w:tcPr>
            <w:tcW w:w="226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PISA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15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грамотности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15-летние школьники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три года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37697" w:rsidRPr="00F37697" w:rsidTr="00F37697">
        <w:tc>
          <w:tcPr>
            <w:tcW w:w="226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образования по модели PISA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15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математического и </w:t>
            </w:r>
            <w:proofErr w:type="spellStart"/>
            <w:proofErr w:type="gramStart"/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8-е и 9-е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четыре года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697" w:rsidRPr="00F37697" w:rsidRDefault="00F37697" w:rsidP="00F37697">
            <w:pPr>
              <w:spacing w:before="30" w:after="0" w:line="33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2019–2024 годы в разных регионах 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графиком </w:t>
            </w:r>
            <w:r w:rsidRPr="00F37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769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F37697" w:rsidRPr="00F37697" w:rsidRDefault="00F37697" w:rsidP="00F37697">
      <w:pPr>
        <w:shd w:val="clear" w:color="auto" w:fill="FFFFFF"/>
        <w:spacing w:before="30" w:after="15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формирования функциональной грамотности</w:t>
      </w:r>
      <w:r w:rsidRPr="00F3769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не контроль и не проверка с выстраиванием рейтингов образовательных организаций или регионов. 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 PISA. При этом используются все отечественные инновационные разработки в данной области.</w:t>
      </w:r>
    </w:p>
    <w:p w:rsidR="00F37697" w:rsidRPr="00F37697" w:rsidRDefault="00F37697" w:rsidP="00F37697">
      <w:pPr>
        <w:shd w:val="clear" w:color="auto" w:fill="FFFFFF"/>
        <w:spacing w:before="30" w:after="15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Концептуальные подходы для мониторинга формирования функциональной грамотности разрабатываются с учетом особенностей учащихся, для которых предназначены задания мониторинга.</w:t>
      </w:r>
    </w:p>
    <w:p w:rsidR="00F37697" w:rsidRPr="00F37697" w:rsidRDefault="00F37697" w:rsidP="00F37697">
      <w:pPr>
        <w:shd w:val="clear" w:color="auto" w:fill="FFFFFF"/>
        <w:spacing w:before="30" w:after="15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Разрабатываемая система заданий и диагностических материалов будет способствовать обновлению учебных и методических материалов с учетом переориентации системы образования на новые результаты, сформулированные в ФГОС и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ситуациях.</w:t>
      </w:r>
    </w:p>
    <w:p w:rsidR="00F37697" w:rsidRPr="00F37697" w:rsidRDefault="00F37697" w:rsidP="00F37697">
      <w:pPr>
        <w:shd w:val="clear" w:color="auto" w:fill="FFFFFF"/>
        <w:spacing w:before="30" w:after="15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математической, читательской, естественнонаучной и финансовой грамотности, глобальным компетенциям, </w:t>
      </w:r>
      <w:proofErr w:type="spellStart"/>
      <w:r w:rsidRPr="00F37697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креативному</w:t>
      </w:r>
      <w:proofErr w:type="spellEnd"/>
      <w:r w:rsidRPr="00F3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мышлению.</w:t>
      </w:r>
    </w:p>
    <w:p w:rsidR="00F37697" w:rsidRPr="00F37697" w:rsidRDefault="00F37697" w:rsidP="00F37697">
      <w:pPr>
        <w:shd w:val="clear" w:color="auto" w:fill="FFFFFF"/>
        <w:spacing w:before="30" w:after="15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 объединенные в тематические блоки, составляют основу инструментария для оценки функциональной грамотности (также как и в исследовании PISA).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</w:t>
      </w:r>
    </w:p>
    <w:p w:rsidR="00063FF2" w:rsidRPr="00063FF2" w:rsidRDefault="00063FF2" w:rsidP="00063FF2">
      <w:pPr>
        <w:pStyle w:val="a5"/>
        <w:shd w:val="clear" w:color="auto" w:fill="FFFFFF"/>
        <w:spacing w:before="30" w:beforeAutospacing="0" w:after="30" w:afterAutospacing="0"/>
        <w:ind w:firstLine="567"/>
        <w:rPr>
          <w:rFonts w:ascii="Verdana" w:hAnsi="Verdana"/>
          <w:color w:val="0066FF"/>
          <w:sz w:val="28"/>
          <w:szCs w:val="28"/>
        </w:rPr>
      </w:pPr>
      <w:r w:rsidRPr="00063FF2">
        <w:rPr>
          <w:rStyle w:val="a3"/>
          <w:rFonts w:ascii="Verdana" w:hAnsi="Verdana"/>
          <w:color w:val="0066FF"/>
          <w:sz w:val="28"/>
          <w:szCs w:val="28"/>
        </w:rPr>
        <w:t>Составляющие функциональной грамотности:</w:t>
      </w:r>
    </w:p>
    <w:p w:rsidR="00063FF2" w:rsidRPr="00063FF2" w:rsidRDefault="00063FF2" w:rsidP="00063FF2">
      <w:pPr>
        <w:pStyle w:val="text-justify"/>
        <w:shd w:val="clear" w:color="auto" w:fill="FFFFFF"/>
        <w:spacing w:before="3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color w:val="000000"/>
          <w:sz w:val="28"/>
          <w:szCs w:val="28"/>
        </w:rPr>
        <w:t> 1. </w:t>
      </w:r>
      <w:r w:rsidRPr="00063FF2">
        <w:rPr>
          <w:rStyle w:val="a3"/>
          <w:color w:val="000000"/>
          <w:sz w:val="28"/>
          <w:szCs w:val="28"/>
        </w:rPr>
        <w:t>Читательская грамотность</w:t>
      </w:r>
      <w:r w:rsidRPr="00063FF2">
        <w:rPr>
          <w:color w:val="000000"/>
          <w:sz w:val="28"/>
          <w:szCs w:val="28"/>
        </w:rPr>
        <w:t xml:space="preserve"> – способность человека понимать и использовать </w:t>
      </w:r>
      <w:proofErr w:type="gramStart"/>
      <w:r w:rsidRPr="00063FF2">
        <w:rPr>
          <w:color w:val="000000"/>
          <w:sz w:val="28"/>
          <w:szCs w:val="28"/>
        </w:rPr>
        <w:t>письменное</w:t>
      </w:r>
      <w:proofErr w:type="gramEnd"/>
      <w:r w:rsidRPr="00063FF2">
        <w:rPr>
          <w:color w:val="000000"/>
          <w:sz w:val="28"/>
          <w:szCs w:val="28"/>
        </w:rPr>
        <w:t xml:space="preserve">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063FF2" w:rsidRPr="00063FF2" w:rsidRDefault="00063FF2" w:rsidP="00063FF2">
      <w:pPr>
        <w:pStyle w:val="text-justify"/>
        <w:shd w:val="clear" w:color="auto" w:fill="FFFFFF"/>
        <w:spacing w:before="3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color w:val="000000"/>
          <w:sz w:val="28"/>
          <w:szCs w:val="28"/>
        </w:rPr>
        <w:t>2. </w:t>
      </w:r>
      <w:r>
        <w:rPr>
          <w:rStyle w:val="a3"/>
          <w:color w:val="000000"/>
          <w:sz w:val="28"/>
          <w:szCs w:val="28"/>
        </w:rPr>
        <w:t>Естественно</w:t>
      </w:r>
      <w:r w:rsidRPr="00063FF2">
        <w:rPr>
          <w:rStyle w:val="a3"/>
          <w:color w:val="000000"/>
          <w:sz w:val="28"/>
          <w:szCs w:val="28"/>
        </w:rPr>
        <w:t>научная грамотность </w:t>
      </w:r>
      <w:r w:rsidRPr="00063FF2">
        <w:rPr>
          <w:color w:val="000000"/>
          <w:sz w:val="28"/>
          <w:szCs w:val="28"/>
        </w:rPr>
        <w:t>- способность человека занимать активную гражданскую позицию по во</w:t>
      </w:r>
      <w:r>
        <w:rPr>
          <w:color w:val="000000"/>
          <w:sz w:val="28"/>
          <w:szCs w:val="28"/>
        </w:rPr>
        <w:t>просам, связанным с естественно</w:t>
      </w:r>
      <w:r w:rsidRPr="00063FF2">
        <w:rPr>
          <w:color w:val="000000"/>
          <w:sz w:val="28"/>
          <w:szCs w:val="28"/>
        </w:rPr>
        <w:t>научными идеями: научно объяснять явления; п</w:t>
      </w:r>
      <w:r>
        <w:rPr>
          <w:color w:val="000000"/>
          <w:sz w:val="28"/>
          <w:szCs w:val="28"/>
        </w:rPr>
        <w:t>онимать особенности естественно</w:t>
      </w:r>
      <w:r w:rsidRPr="00063FF2">
        <w:rPr>
          <w:color w:val="000000"/>
          <w:sz w:val="28"/>
          <w:szCs w:val="28"/>
        </w:rPr>
        <w:t>научного исследования; интерпретировать данные и использовать научные доказательства.</w:t>
      </w:r>
    </w:p>
    <w:p w:rsidR="00063FF2" w:rsidRPr="00063FF2" w:rsidRDefault="00063FF2" w:rsidP="00063FF2">
      <w:pPr>
        <w:pStyle w:val="text-justify"/>
        <w:shd w:val="clear" w:color="auto" w:fill="FFFFFF"/>
        <w:spacing w:before="3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color w:val="000000"/>
          <w:sz w:val="28"/>
          <w:szCs w:val="28"/>
        </w:rPr>
        <w:t>3. </w:t>
      </w:r>
      <w:r w:rsidRPr="00063FF2">
        <w:rPr>
          <w:rStyle w:val="a3"/>
          <w:color w:val="000000"/>
          <w:sz w:val="28"/>
          <w:szCs w:val="28"/>
        </w:rPr>
        <w:t>Математическая грамотность</w:t>
      </w:r>
      <w:r w:rsidRPr="00063FF2">
        <w:rPr>
          <w:color w:val="000000"/>
          <w:sz w:val="28"/>
          <w:szCs w:val="28"/>
        </w:rPr>
        <w:t> -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063FF2" w:rsidRPr="00063FF2" w:rsidRDefault="00063FF2" w:rsidP="00063FF2">
      <w:pPr>
        <w:pStyle w:val="text-justify"/>
        <w:shd w:val="clear" w:color="auto" w:fill="FFFFFF"/>
        <w:spacing w:before="3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color w:val="000000"/>
          <w:sz w:val="28"/>
          <w:szCs w:val="28"/>
        </w:rPr>
        <w:t>4. </w:t>
      </w:r>
      <w:r w:rsidRPr="00063FF2">
        <w:rPr>
          <w:rStyle w:val="a3"/>
          <w:color w:val="000000"/>
          <w:sz w:val="28"/>
          <w:szCs w:val="28"/>
        </w:rPr>
        <w:t>Финансовая грамотность </w:t>
      </w:r>
      <w:r w:rsidRPr="00063FF2">
        <w:rPr>
          <w:color w:val="000000"/>
          <w:sz w:val="28"/>
          <w:szCs w:val="28"/>
        </w:rPr>
        <w:t>– знание и понимание финансовых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063FF2" w:rsidRPr="00063FF2" w:rsidRDefault="00063FF2" w:rsidP="00063FF2">
      <w:pPr>
        <w:pStyle w:val="text-justify"/>
        <w:shd w:val="clear" w:color="auto" w:fill="FFFFFF"/>
        <w:spacing w:before="3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color w:val="000000"/>
          <w:sz w:val="28"/>
          <w:szCs w:val="28"/>
        </w:rPr>
        <w:t>5. </w:t>
      </w:r>
      <w:proofErr w:type="spellStart"/>
      <w:r w:rsidRPr="00063FF2">
        <w:rPr>
          <w:rStyle w:val="a3"/>
          <w:color w:val="000000"/>
          <w:sz w:val="28"/>
          <w:szCs w:val="28"/>
        </w:rPr>
        <w:t>Креативное</w:t>
      </w:r>
      <w:proofErr w:type="spellEnd"/>
      <w:r w:rsidRPr="00063FF2">
        <w:rPr>
          <w:rStyle w:val="a3"/>
          <w:color w:val="000000"/>
          <w:sz w:val="28"/>
          <w:szCs w:val="28"/>
        </w:rPr>
        <w:t xml:space="preserve"> мышление.</w:t>
      </w:r>
    </w:p>
    <w:p w:rsidR="00063FF2" w:rsidRPr="00063FF2" w:rsidRDefault="00063FF2" w:rsidP="00063FF2">
      <w:pPr>
        <w:pStyle w:val="text-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color w:val="000000"/>
          <w:sz w:val="28"/>
          <w:szCs w:val="28"/>
        </w:rPr>
        <w:t>6. </w:t>
      </w:r>
      <w:r w:rsidRPr="00063FF2">
        <w:rPr>
          <w:rStyle w:val="a3"/>
          <w:color w:val="000000"/>
          <w:sz w:val="28"/>
          <w:szCs w:val="28"/>
        </w:rPr>
        <w:t>Глобальные компетенции</w:t>
      </w:r>
      <w:r w:rsidRPr="00063FF2">
        <w:rPr>
          <w:color w:val="000000"/>
          <w:sz w:val="28"/>
          <w:szCs w:val="28"/>
        </w:rPr>
        <w:t>. Под глобальными компетенциями в исследовании понимаются способности:</w:t>
      </w:r>
    </w:p>
    <w:p w:rsidR="00063FF2" w:rsidRPr="00063FF2" w:rsidRDefault="00063FF2" w:rsidP="00063FF2">
      <w:pPr>
        <w:pStyle w:val="text-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color w:val="000000"/>
          <w:sz w:val="28"/>
          <w:szCs w:val="28"/>
        </w:rPr>
        <w:t>- критически рассматривать с различных точек зрения проблемы глобального характера и межкультурного взаимодействия;</w:t>
      </w:r>
    </w:p>
    <w:p w:rsidR="00063FF2" w:rsidRPr="00063FF2" w:rsidRDefault="00063FF2" w:rsidP="00063FF2">
      <w:pPr>
        <w:pStyle w:val="text-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color w:val="000000"/>
          <w:sz w:val="28"/>
          <w:szCs w:val="28"/>
        </w:rPr>
        <w:t>- осознавать, как культурные, религиозные, политические, расовые и иные различия влияют на восприятие, суждения и взгляды людей;</w:t>
      </w:r>
    </w:p>
    <w:p w:rsidR="00063FF2" w:rsidRPr="00063FF2" w:rsidRDefault="00063FF2" w:rsidP="00063FF2">
      <w:pPr>
        <w:pStyle w:val="text-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color w:val="000000"/>
          <w:sz w:val="28"/>
          <w:szCs w:val="28"/>
        </w:rPr>
        <w:t>-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063FF2" w:rsidRPr="00063FF2" w:rsidRDefault="00063FF2" w:rsidP="00063FF2">
      <w:pPr>
        <w:pStyle w:val="text-justify"/>
        <w:shd w:val="clear" w:color="auto" w:fill="FFFFFF"/>
        <w:spacing w:before="3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063FF2">
        <w:rPr>
          <w:rStyle w:val="a3"/>
          <w:color w:val="000000"/>
          <w:sz w:val="28"/>
          <w:szCs w:val="28"/>
        </w:rPr>
        <w:lastRenderedPageBreak/>
        <w:t>Глобальные компетенции</w:t>
      </w:r>
      <w:r w:rsidRPr="00063FF2">
        <w:rPr>
          <w:color w:val="000000"/>
          <w:sz w:val="28"/>
          <w:szCs w:val="28"/>
        </w:rPr>
        <w:t> включают способность эффективно действовать индивидуально или в группе в различных ситуациях. Оцениваются также заинтересованность и осведомленность о глобальных тенденциях развития</w:t>
      </w:r>
      <w:r w:rsidRPr="00063FF2">
        <w:rPr>
          <w:color w:val="212529"/>
          <w:sz w:val="28"/>
          <w:szCs w:val="28"/>
        </w:rPr>
        <w:t>, управление поведением, открытость к новому, эмоциональное восприятие нового.</w:t>
      </w:r>
    </w:p>
    <w:p w:rsidR="00F37697" w:rsidRPr="00F37697" w:rsidRDefault="00F37697" w:rsidP="00063FF2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37697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В настоящее время разработаны Интернет-ресурсы, </w:t>
      </w:r>
      <w:proofErr w:type="spellStart"/>
      <w:r w:rsidRPr="00F37697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контент</w:t>
      </w:r>
      <w:proofErr w:type="spellEnd"/>
      <w:r w:rsidRPr="00F37697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 которых можно использовать для развития и оценки функциональной грамотности обучающихся: </w:t>
      </w:r>
    </w:p>
    <w:p w:rsidR="00F37697" w:rsidRPr="00F37697" w:rsidRDefault="00F37697" w:rsidP="00F3769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1. Электронный банк заданий: </w:t>
      </w:r>
      <w:hyperlink r:id="rId7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https://fg.</w:t>
        </w:r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r</w:t>
        </w:r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esh.edu.ru/.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8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https://resh.edu.ru/instruction.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Общероссийская оценка по модели PISA. </w:t>
      </w:r>
      <w:proofErr w:type="spellStart"/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9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https://fio</w:t>
        </w:r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c</w:t>
        </w:r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o.ru/vebinar-shkoly-ocenka-pisa.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3. Открытые задания </w:t>
      </w:r>
      <w:hyperlink r:id="rId10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https://fioco.ru/примеры-задач-pisa.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11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http://center-imc.ru/wp-content/uploads/2020/02/10120.pdf.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Банк заданий для формирования и оценки функциональной грамотности обучающихся основной школы (5-9 классы). ФГБНУ Институт </w:t>
      </w:r>
      <w:proofErr w:type="gramStart"/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стратегии развития образования Российской академии образования</w:t>
      </w:r>
      <w:proofErr w:type="gramEnd"/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2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http://skiv.instrao.ru/bank-zadaniy/.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6. Демонстрационные материалы для оценки функциональной грамотности учащихся 5 и 7 классов </w:t>
      </w:r>
      <w:hyperlink r:id="rId13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http://skiv.instrao.ru/support/demonstratsionnye-materialya/.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hyperlink r:id="rId14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Издательство «Просвещение»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hyperlink r:id="rId15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Банк тестов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9. </w:t>
      </w:r>
      <w:hyperlink r:id="rId16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 xml:space="preserve">Марафон по функциональной грамотности. </w:t>
        </w:r>
        <w:proofErr w:type="spellStart"/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Яндекс-Учебник</w:t>
        </w:r>
        <w:proofErr w:type="spellEnd"/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10. </w:t>
      </w:r>
      <w:proofErr w:type="spellStart"/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Вебинары</w:t>
      </w:r>
      <w:proofErr w:type="spellEnd"/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учителей-предметников по функциональной грамотности </w:t>
      </w:r>
      <w:hyperlink r:id="rId17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https://prosv.ru/webinars.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</w:rPr>
        <w:t>Банк заданий по функциональной грамотности от издательства «Просвещение»</w:t>
      </w:r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18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Электронный банк з</w:t>
        </w:r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а</w:t>
        </w:r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да</w:t>
        </w:r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н</w:t>
        </w:r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ий по финансовой грамотности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19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Читательская грамотность. Характеристики и система оценивания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20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Электронный банк заданий по читательской грамотности</w:t>
        </w:r>
      </w:hyperlink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21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Электронный банк заданий по математической грамотности 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22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Электронный банк заданий по естественнонаучной грамотности 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23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Электронный банк заданий по глобальным компетенциям 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24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 xml:space="preserve">Электронный банк заданий по </w:t>
        </w:r>
        <w:proofErr w:type="spellStart"/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креативному</w:t>
        </w:r>
        <w:proofErr w:type="spellEnd"/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 xml:space="preserve"> мышлению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25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Примеры заданий по математической грамотности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26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Демонстрационные материалы для оценки функциональной грамотности учащихся 5 и 7 классов по шести составляющим функциональной грамотности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F3769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hyperlink r:id="rId27" w:tgtFrame="_blank" w:history="1">
        <w:r w:rsidRPr="00F37697">
          <w:rPr>
            <w:rFonts w:ascii="Times New Roman" w:eastAsia="Times New Roman" w:hAnsi="Times New Roman" w:cs="Times New Roman"/>
            <w:b/>
            <w:bCs/>
            <w:color w:val="0069A9"/>
            <w:sz w:val="27"/>
            <w:u w:val="single"/>
          </w:rPr>
          <w:t>Электронный банк заданий для оценки функциональной грамотности на сайте Российской электронной школы</w:t>
        </w:r>
      </w:hyperlink>
    </w:p>
    <w:p w:rsidR="00F37697" w:rsidRPr="00F37697" w:rsidRDefault="00F37697" w:rsidP="00F37697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7697">
        <w:rPr>
          <w:rFonts w:ascii="Times New Roman" w:eastAsia="Times New Roman" w:hAnsi="Times New Roman" w:cs="Times New Roman"/>
          <w:color w:val="000000"/>
          <w:sz w:val="27"/>
          <w:szCs w:val="27"/>
        </w:rPr>
        <w:t>· </w:t>
      </w:r>
      <w:proofErr w:type="spellStart"/>
      <w:r w:rsidRPr="00F37697">
        <w:rPr>
          <w:rFonts w:ascii="Times New Roman" w:eastAsia="Times New Roman" w:hAnsi="Times New Roman" w:cs="Times New Roman"/>
          <w:color w:val="212529"/>
          <w:sz w:val="27"/>
          <w:szCs w:val="27"/>
          <w:shd w:val="clear" w:color="auto" w:fill="FFFFFF"/>
        </w:rPr>
        <w:t>Вебинары</w:t>
      </w:r>
      <w:proofErr w:type="spellEnd"/>
      <w:r w:rsidRPr="00F37697">
        <w:rPr>
          <w:rFonts w:ascii="Times New Roman" w:eastAsia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Академии «Просвещение» для педагогов по формированию функциональной грамотности обучающихся: </w:t>
      </w:r>
    </w:p>
    <w:p w:rsidR="00F37697" w:rsidRPr="00F37697" w:rsidRDefault="00F37697" w:rsidP="00E24FE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3769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lastRenderedPageBreak/>
        <w:t>Финансовая грамотность:</w:t>
      </w:r>
    </w:p>
    <w:p w:rsidR="00F37697" w:rsidRPr="00F37697" w:rsidRDefault="00F37697" w:rsidP="00E24FE4">
      <w:pPr>
        <w:shd w:val="clear" w:color="auto" w:fill="FFFFFF"/>
        <w:spacing w:before="30" w:after="30" w:line="240" w:lineRule="auto"/>
        <w:ind w:left="1287"/>
        <w:rPr>
          <w:rFonts w:ascii="Verdana" w:eastAsia="Times New Roman" w:hAnsi="Verdana" w:cs="Times New Roman"/>
          <w:color w:val="0066FF"/>
          <w:sz w:val="27"/>
          <w:szCs w:val="27"/>
        </w:rPr>
      </w:pPr>
      <w:hyperlink r:id="rId28" w:history="1">
        <w:r w:rsidRPr="00E24FE4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u w:val="single"/>
          </w:rPr>
          <w:t>https://youtu.be/WJ2is6yhgWc</w:t>
        </w:r>
      </w:hyperlink>
    </w:p>
    <w:p w:rsidR="00F37697" w:rsidRPr="00F37697" w:rsidRDefault="00F37697" w:rsidP="00E24FE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FE4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</w:rPr>
        <w:t>Читательская: грамотность:</w:t>
      </w:r>
    </w:p>
    <w:p w:rsidR="00F37697" w:rsidRPr="00F37697" w:rsidRDefault="00F37697" w:rsidP="00E24FE4">
      <w:pPr>
        <w:shd w:val="clear" w:color="auto" w:fill="FFFFFF"/>
        <w:spacing w:before="30" w:after="30" w:line="240" w:lineRule="auto"/>
        <w:ind w:left="1287"/>
        <w:rPr>
          <w:rFonts w:ascii="Verdana" w:eastAsia="Times New Roman" w:hAnsi="Verdana" w:cs="Times New Roman"/>
          <w:color w:val="0066FF"/>
          <w:sz w:val="27"/>
          <w:szCs w:val="27"/>
        </w:rPr>
      </w:pPr>
      <w:hyperlink r:id="rId29" w:history="1">
        <w:r w:rsidRPr="00E24FE4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u w:val="single"/>
          </w:rPr>
          <w:t>https://youtu.be/_om_kIhu7G8</w:t>
        </w:r>
      </w:hyperlink>
    </w:p>
    <w:p w:rsidR="00F37697" w:rsidRDefault="00F37697" w:rsidP="00F3769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697" w:rsidRDefault="00F37697" w:rsidP="00F3769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7697" w:rsidSect="00E24FE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4B"/>
    <w:multiLevelType w:val="multilevel"/>
    <w:tmpl w:val="9D1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697"/>
    <w:rsid w:val="00063FF2"/>
    <w:rsid w:val="004B1AAD"/>
    <w:rsid w:val="00E24FE4"/>
    <w:rsid w:val="00F3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7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6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justify">
    <w:name w:val="text-justify"/>
    <w:basedOn w:val="a"/>
    <w:rsid w:val="00F3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37697"/>
    <w:rPr>
      <w:b/>
      <w:bCs/>
    </w:rPr>
  </w:style>
  <w:style w:type="character" w:styleId="a4">
    <w:name w:val="Hyperlink"/>
    <w:basedOn w:val="a0"/>
    <w:uiPriority w:val="99"/>
    <w:semiHidden/>
    <w:unhideWhenUsed/>
    <w:rsid w:val="00F376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37697"/>
    <w:rPr>
      <w:i/>
      <w:iCs/>
    </w:rPr>
  </w:style>
  <w:style w:type="paragraph" w:styleId="a7">
    <w:name w:val="List Paragraph"/>
    <w:basedOn w:val="a"/>
    <w:uiPriority w:val="34"/>
    <w:qFormat/>
    <w:rsid w:val="00F3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69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B1A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instruction" TargetMode="External"/><Relationship Id="rId13" Type="http://schemas.openxmlformats.org/officeDocument/2006/relationships/hyperlink" Target="http://skiv.instrao.ru/support/demonstratsionnye-materialya/" TargetMode="External"/><Relationship Id="rId18" Type="http://schemas.openxmlformats.org/officeDocument/2006/relationships/hyperlink" Target="http://skiv.instrao.ru/bank-zadaniy/finansovaya-gramotnost/" TargetMode="External"/><Relationship Id="rId26" Type="http://schemas.openxmlformats.org/officeDocument/2006/relationships/hyperlink" Target="http://skiv.instrao.ru/support/demonstratsionnye-materialya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iv.instrao.ru/bank-zadaniy/matematicheskaya-gramotnost/" TargetMode="External"/><Relationship Id="rId7" Type="http://schemas.openxmlformats.org/officeDocument/2006/relationships/hyperlink" Target="https://fg.resh.edu.ru/?redirectAfterLogin=%2Ffunctionalliteracy%2Fevents" TargetMode="Externa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s://uchitel.club/events/vebinary/filter" TargetMode="External"/><Relationship Id="rId25" Type="http://schemas.openxmlformats.org/officeDocument/2006/relationships/hyperlink" Target="http://www.centeroko.ru/pisa15/pisa15_pu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promo/education/specpro/marathon2020/main" TargetMode="External"/><Relationship Id="rId20" Type="http://schemas.openxmlformats.org/officeDocument/2006/relationships/hyperlink" Target="http://skiv.instrao.ru/bank-zadaniy/chitatelskaya-gramotnost/" TargetMode="External"/><Relationship Id="rId29" Type="http://schemas.openxmlformats.org/officeDocument/2006/relationships/hyperlink" Target="https://youtu.be/_om_kIhu7G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enter-imc.ru/wp-content/uploads/2020/02/10120.pdf" TargetMode="External"/><Relationship Id="rId24" Type="http://schemas.openxmlformats.org/officeDocument/2006/relationships/hyperlink" Target="http://skiv.instrao.ru/bank-zadaniy/kreativnoe-myshlenie/" TargetMode="External"/><Relationship Id="rId5" Type="http://schemas.openxmlformats.org/officeDocument/2006/relationships/hyperlink" Target="https://xn--80aaacg3ajc5bedviq9r.xn--p1ai/" TargetMode="External"/><Relationship Id="rId15" Type="http://schemas.openxmlformats.org/officeDocument/2006/relationships/hyperlink" Target="https://banktestov.ru/test/3674" TargetMode="External"/><Relationship Id="rId23" Type="http://schemas.openxmlformats.org/officeDocument/2006/relationships/hyperlink" Target="http://skiv.instrao.ru/bank-zadaniy/globalnye-kompetentsii/" TargetMode="External"/><Relationship Id="rId28" Type="http://schemas.openxmlformats.org/officeDocument/2006/relationships/hyperlink" Target="https://youtu.be/WJ2is6yhgWc" TargetMode="External"/><Relationship Id="rId10" Type="http://schemas.openxmlformats.org/officeDocument/2006/relationships/hyperlink" Target="https://fioco.ru/%D0%BF%D1%80%D0%B8%D0%BC%D0%B5%D1%80%D1%8B-%D0%B7%D0%B0%D0%B4%D0%B0%D1%87-pisa" TargetMode="External"/><Relationship Id="rId19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oco.ru/vebinar-shkoly-ocenka-pisa" TargetMode="External"/><Relationship Id="rId14" Type="http://schemas.openxmlformats.org/officeDocument/2006/relationships/hyperlink" Target="https://media.prosv.ru/fg/" TargetMode="External"/><Relationship Id="rId22" Type="http://schemas.openxmlformats.org/officeDocument/2006/relationships/hyperlink" Target="http://skiv.instrao.ru/bank-zadaniy/estestvennonauchnaya-gramotnost/" TargetMode="External"/><Relationship Id="rId27" Type="http://schemas.openxmlformats.org/officeDocument/2006/relationships/hyperlink" Target="https://fg.resh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2021-12-21T11:23:00Z</dcterms:created>
  <dcterms:modified xsi:type="dcterms:W3CDTF">2021-12-21T12:01:00Z</dcterms:modified>
</cp:coreProperties>
</file>